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WILLOW NOTES / DATA AND LIMITS</w:t>
      </w:r>
    </w:p>
    <w:p>
      <w:pPr>
        <w:pStyle w:val="a0"/>
      </w:pPr>
      <w:r>
        <w:rPr>
          <w:rFonts w:hint="eastAsia"/>
        </w:rPr>
        <w:t xml:space="preserve">柳树笔记</w:t>
      </w:r>
      <w:r>
        <w:t xml:space="preserve"> / </w:t>
      </w:r>
      <w:r>
        <w:rPr>
          <w:rFonts w:hint="eastAsia"/>
        </w:rPr>
        <w:t xml:space="preserve">数据与限制</w:t>
      </w:r>
    </w:p>
    <w:bookmarkStart w:id="21" w:name="packing-records-in-context"/>
    <w:p>
      <w:pPr>
        <w:pStyle w:val="1"/>
      </w:pPr>
      <w:r>
        <w:t xml:space="preserve">Packing records in context</w:t>
      </w:r>
    </w:p>
    <w:bookmarkStart w:id="20" w:name="在上下文中打包记录"/>
    <w:p>
      <w:pPr>
        <w:pStyle w:val="1"/>
      </w:pPr>
      <w:r>
        <w:rPr>
          <w:rFonts w:hint="eastAsia"/>
        </w:rPr>
        <w:t xml:space="preserve">在上下文中打包记录</w:t>
      </w:r>
    </w:p>
    <w:bookmarkEnd w:id="20"/>
    <w:bookmarkEnd w:id="21"/>
    <w:bookmarkStart w:id="39" w:name="recorded-values"/>
    <w:p>
      <w:pPr>
        <w:pStyle w:val="1"/>
      </w:pPr>
      <w:r>
        <w:t xml:space="preserve">1. Recorded values</w:t>
      </w:r>
    </w:p>
    <w:bookmarkStart w:id="22" w:name="记录值"/>
    <w:p>
      <w:pPr>
        <w:pStyle w:val="1"/>
      </w:pPr>
      <w:r>
        <w:t xml:space="preserve">1. </w:t>
      </w:r>
      <w:r>
        <w:rPr>
          <w:rFonts w:hint="eastAsia"/>
        </w:rPr>
        <w:t xml:space="preserve">记录值</w:t>
      </w:r>
    </w:p>
    <w:bookmarkEnd w:id="22"/>
    <w:p>
      <w:pPr>
        <w:pStyle w:val="FirstParagraph"/>
      </w:pPr>
      <w:r>
        <w:t xml:space="preserve">Three fictional batches are listed below. The numbers describe whole batches, not individual workers. Keep the column labels and units with the values.</w:t>
      </w:r>
    </w:p>
    <w:p>
      <w:pPr>
        <w:pStyle w:val="a0"/>
      </w:pPr>
      <w:r>
        <w:rPr>
          <w:rFonts w:hint="eastAsia"/>
        </w:rPr>
        <w:t xml:space="preserve">以下列出了三批虚构批次。数字描述的是完整批次，而非单个工人。请将列标签和单位与数值保留在一起。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Batch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Packets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Minutes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Trays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bookmarkStart w:id="23" w:name="reva06ce8b37287e3cd4a409b1edd8dd9d0"/>
            <w:r>
              <w:rPr>
                <w:rFonts w:hint="eastAsia"/>
              </w:rPr>
              <w:t xml:space="preserve">批次</w:t>
            </w:r>
            <w:bookmarkEnd w:id="23"/>
          </w:p>
        </w:tc>
        <w:tc>
          <w:tcPr/>
          <w:p>
            <w:pPr>
              <w:pStyle w:val="Compact"/>
              <w:jc w:val="center"/>
            </w:pPr>
            <w:bookmarkStart w:id="24" w:name="revcc3a5f76e3ac9c09af87db0a232a311b"/>
            <w:r>
              <w:rPr>
                <w:rFonts w:hint="eastAsia"/>
              </w:rPr>
              <w:t xml:space="preserve">包装件</w:t>
            </w:r>
            <w:bookmarkEnd w:id="24"/>
          </w:p>
        </w:tc>
        <w:tc>
          <w:tcPr/>
          <w:p>
            <w:pPr>
              <w:pStyle w:val="Compact"/>
              <w:jc w:val="center"/>
            </w:pPr>
            <w:bookmarkStart w:id="25" w:name="rev6b9c2bf8778352cafa6e7d5607ee7e79"/>
            <w:r>
              <w:rPr>
                <w:rFonts w:hint="eastAsia"/>
              </w:rPr>
              <w:t xml:space="preserve">分钟</w:t>
            </w:r>
            <w:bookmarkEnd w:id="25"/>
          </w:p>
        </w:tc>
        <w:tc>
          <w:tcPr/>
          <w:p>
            <w:pPr>
              <w:pStyle w:val="Compact"/>
              <w:jc w:val="center"/>
            </w:pPr>
            <w:bookmarkStart w:id="26" w:name="rev53b6537faa756de7173ed74eb998ce68"/>
            <w:r>
              <w:rPr>
                <w:rFonts w:hint="eastAsia"/>
              </w:rPr>
              <w:t xml:space="preserve">托盘</w:t>
            </w:r>
            <w:bookmarkEnd w:id="26"/>
          </w:p>
        </w:tc>
      </w:tr>
      <w:tr>
        <w:tc>
          <w:tcPr/>
          <w:p>
            <w:pPr>
              <w:pStyle w:val="Compact"/>
              <w:jc w:val="center"/>
            </w:pPr>
            <w:bookmarkStart w:id="27" w:name="revd8c4a6af463f7c8f43d696790bd990e7"/>
            <w:r>
              <w:rPr/>
              <w:t xml:space="preserve">A</w:t>
            </w:r>
            <w:bookmarkEnd w:id="27"/>
          </w:p>
        </w:tc>
        <w:tc>
          <w:tcPr/>
          <w:p>
            <w:pPr>
              <w:pStyle w:val="Compact"/>
              <w:jc w:val="center"/>
            </w:pPr>
            <w:bookmarkStart w:id="28" w:name="rev2ff62c6547d11e7aef3615061a4744da"/>
            <w:r>
              <w:rPr/>
              <w:t xml:space="preserve">18</w:t>
            </w:r>
            <w:bookmarkEnd w:id="28"/>
          </w:p>
        </w:tc>
        <w:tc>
          <w:tcPr/>
          <w:p>
            <w:pPr>
              <w:pStyle w:val="Compact"/>
              <w:jc w:val="center"/>
            </w:pPr>
            <w:bookmarkStart w:id="29" w:name="rev9114fbf3245e79ce8f842446dd2a5e31"/>
            <w:r>
              <w:rPr/>
              <w:t xml:space="preserve">6</w:t>
            </w:r>
            <w:bookmarkEnd w:id="29"/>
          </w:p>
        </w:tc>
        <w:tc>
          <w:tcPr/>
          <w:p>
            <w:pPr>
              <w:pStyle w:val="Compact"/>
              <w:jc w:val="center"/>
            </w:pPr>
            <w:bookmarkStart w:id="30" w:name="revae4d6b53871415d37064c0b6968ab298"/>
            <w:r>
              <w:rPr/>
              <w:t xml:space="preserve">3</w:t>
            </w:r>
            <w:bookmarkEnd w:id="30"/>
          </w:p>
        </w:tc>
      </w:tr>
      <w:tr>
        <w:tc>
          <w:tcPr/>
          <w:p>
            <w:pPr>
              <w:pStyle w:val="Compact"/>
              <w:jc w:val="center"/>
            </w:pPr>
            <w:bookmarkStart w:id="31" w:name="rev2a0ccf03e3a7f66126cdc77e2ebd0094"/>
            <w:r>
              <w:rPr/>
              <w:t xml:space="preserve">B</w:t>
            </w:r>
            <w:bookmarkEnd w:id="31"/>
          </w:p>
        </w:tc>
        <w:tc>
          <w:tcPr/>
          <w:p>
            <w:pPr>
              <w:pStyle w:val="Compact"/>
              <w:jc w:val="center"/>
            </w:pPr>
            <w:bookmarkStart w:id="32" w:name="rev469989a00efed3a0b936dde95722afb9"/>
            <w:r>
              <w:rPr/>
              <w:t xml:space="preserve">28</w:t>
            </w:r>
            <w:bookmarkEnd w:id="32"/>
          </w:p>
        </w:tc>
        <w:tc>
          <w:tcPr/>
          <w:p>
            <w:pPr>
              <w:pStyle w:val="Compact"/>
              <w:jc w:val="center"/>
            </w:pPr>
            <w:bookmarkStart w:id="33" w:name="rev3facb31f922d5711d610093d2d9f0090"/>
            <w:r>
              <w:rPr/>
              <w:t xml:space="preserve">7</w:t>
            </w:r>
            <w:bookmarkEnd w:id="33"/>
          </w:p>
        </w:tc>
        <w:tc>
          <w:tcPr/>
          <w:p>
            <w:pPr>
              <w:pStyle w:val="Compact"/>
              <w:jc w:val="center"/>
            </w:pPr>
            <w:bookmarkStart w:id="34" w:name="rev2021fd48f1be6bc9705959abfef5b088"/>
            <w:r>
              <w:rPr/>
              <w:t xml:space="preserve">4</w:t>
            </w:r>
            <w:bookmarkEnd w:id="34"/>
          </w:p>
        </w:tc>
      </w:tr>
      <w:tr>
        <w:tc>
          <w:tcPr/>
          <w:p>
            <w:pPr>
              <w:pStyle w:val="Compact"/>
              <w:jc w:val="center"/>
            </w:pPr>
            <w:bookmarkStart w:id="35" w:name="rev1738e549a881af86afd2c71a89c6573a"/>
            <w:r>
              <w:rPr/>
              <w:t xml:space="preserve">C</w:t>
            </w:r>
            <w:bookmarkEnd w:id="35"/>
          </w:p>
        </w:tc>
        <w:tc>
          <w:tcPr/>
          <w:p>
            <w:pPr>
              <w:pStyle w:val="Compact"/>
              <w:jc w:val="center"/>
            </w:pPr>
            <w:bookmarkStart w:id="36" w:name="revf221bc9aa97ae912c633a3d011f9fbcb"/>
            <w:r>
              <w:rPr/>
              <w:t xml:space="preserve">20</w:t>
            </w:r>
            <w:bookmarkEnd w:id="36"/>
          </w:p>
        </w:tc>
        <w:tc>
          <w:tcPr/>
          <w:p>
            <w:pPr>
              <w:pStyle w:val="Compact"/>
              <w:jc w:val="center"/>
            </w:pPr>
            <w:bookmarkStart w:id="37" w:name="rev6fb0cc8bc274fa9b58ed0594e5fd6f25"/>
            <w:r>
              <w:rPr/>
              <w:t xml:space="preserve">5</w:t>
            </w:r>
            <w:bookmarkEnd w:id="37"/>
          </w:p>
        </w:tc>
        <w:tc>
          <w:tcPr/>
          <w:p>
            <w:pPr>
              <w:pStyle w:val="Compact"/>
              <w:jc w:val="center"/>
            </w:pPr>
            <w:bookmarkStart w:id="38" w:name="rev7726425461179287f55c15fe91e5bea3"/>
            <w:r>
              <w:rPr/>
              <w:t xml:space="preserve">4</w:t>
            </w:r>
            <w:bookmarkEnd w:id="38"/>
          </w:p>
        </w:tc>
      </w:tr>
    </w:tbl>
    <w:p>
      <w:pPr>
        <w:pStyle w:val="a0"/>
      </w:pPr>
      <w:r>
        <w:t xml:space="preserve">Table 1. Original counts from the three fictional batches.</w:t>
      </w:r>
    </w:p>
    <w:p>
      <w:pPr>
        <w:pStyle w:val="a0"/>
      </w:pPr>
      <w:r>
        <w:rPr>
          <w:rFonts w:hint="eastAsia"/>
        </w:rPr>
        <w:t xml:space="preserve">表1。三个虚构批次的原始计数。</w:t>
      </w:r>
    </w:p>
    <w:p>
      <w:pPr>
        <w:pStyle w:val="a0"/>
      </w:pPr>
      <w:r>
        <w:t xml:space="preserve">The contents of the batches differ. No controlled comparison was carried out. Tray count is a storage detail, not the denominator for packets per minute.</w:t>
      </w:r>
    </w:p>
    <w:p>
      <w:pPr>
        <w:pStyle w:val="a0"/>
      </w:pPr>
      <w:r>
        <w:rPr>
          <w:rFonts w:hint="eastAsia"/>
        </w:rPr>
        <w:t xml:space="preserve">各批次的内容不同。未进行受控比较。托盘数量是存储细节，不是每分钟包装数的分母。</w:t>
      </w:r>
    </w:p>
    <w:bookmarkEnd w:id="39"/>
    <w:bookmarkStart w:id="42" w:name="interpret-the-units"/>
    <w:p>
      <w:pPr>
        <w:pStyle w:val="1"/>
      </w:pPr>
      <w:r>
        <w:t xml:space="preserve">2. Interpret the units</w:t>
      </w:r>
    </w:p>
    <w:bookmarkStart w:id="40" w:name="解释单位"/>
    <w:p>
      <w:pPr>
        <w:pStyle w:val="1"/>
      </w:pPr>
      <w:r>
        <w:t xml:space="preserve">2. </w:t>
      </w:r>
      <w:r>
        <w:rPr>
          <w:rFonts w:hint="eastAsia"/>
        </w:rPr>
        <w:t xml:space="preserve">解释单位</w:t>
      </w:r>
    </w:p>
    <w:bookmarkEnd w:id="40"/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p"/>
          </m:rPr>
          <m:t>N</m:t>
        </m:r>
      </m:oMath>
      <w:r>
        <w:t xml:space="preserve"> </w:t>
      </w:r>
      <w:r>
        <w:t xml:space="preserve">be the number of packets and</w:t>
      </w:r>
      <w:r>
        <w:t xml:space="preserve"> </w:t>
      </w:r>
      <m:oMath>
        <m:r>
          <m:rPr>
            <m:sty m:val="p"/>
          </m:rPr>
          <m:t>t</m:t>
        </m:r>
      </m:oMath>
      <w:r>
        <w:t xml:space="preserve"> </w:t>
      </w:r>
      <w:r>
        <w:t xml:space="preserve">the elapsed time in minutes. The aggregate packing rate is calculated from the recorded totals:</w:t>
      </w:r>
    </w:p>
    <w:p>
      <w:pPr>
        <w:pStyle w:val="a0"/>
      </w:pPr>
      <w:r>
        <w:rPr>
          <w:rFonts w:hint="eastAsia"/>
        </w:rPr>
        <w:t xml:space="preserve">设</w:t>
      </w:r>
      <w:r>
        <w:t xml:space="preserve"> </w:t>
      </w:r>
      <m:oMath>
        <m:r>
          <m:rPr>
            <m:sty m:val="p"/>
          </m:rPr>
          <m:t>N</m:t>
        </m:r>
      </m:oMath>
      <w:r>
        <w:t xml:space="preserve"> </w:t>
      </w:r>
      <w:r>
        <w:rPr>
          <w:rFonts w:hint="eastAsia"/>
        </w:rPr>
        <w:t xml:space="preserve">为包装数量，</w:t>
      </w:r>
      <w:r>
        <w:t xml:space="preserve"> </w:t>
      </w:r>
      <m:oMath>
        <m:r>
          <m:rPr>
            <m:sty m:val="p"/>
          </m:rPr>
          <m:t>t</m:t>
        </m:r>
      </m:oMath>
      <w:r>
        <w:t xml:space="preserve"> </w:t>
      </w:r>
      <w:r>
        <w:rPr>
          <w:rFonts w:hint="eastAsia"/>
        </w:rPr>
        <w:t xml:space="preserve">为经过的分钟数。总包装速率根据记录的总数计算:</w:t>
      </w:r>
    </w:p>
    <w:p>
      <w:pPr>
        <w:pStyle w:val="a0"/>
      </w:pPr>
      <m:oMath>
        <m:r>
          <m:t>R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t</m:t>
        </m:r>
      </m:oMath>
    </w:p>
    <w:p>
      <w:pPr>
        <w:pStyle w:val="a0"/>
      </w:pPr>
      <w:bookmarkStart w:id="41" w:name="rev0e24841617ab8f8ac7d012a553eb25b9"/>
      <m:oMath>
        <m:r>
          <w:rPr/>
          <m:t>R</m:t>
        </m:r>
        <m:r>
          <m:rPr>
            <m:sty m:val="p"/>
          </m:rPr>
          <w:rPr/>
          <m:t>=</m:t>
        </m:r>
        <m:f>
          <m:fPr>
            <m:type m:val="bar"/>
          </m:fPr>
          <m:num>
            <m:r>
              <w:rPr/>
              <m:t>N</m:t>
            </m:r>
          </m:num>
          <m:den>
            <m:r>
              <w:rPr/>
              <m:t>t</m:t>
            </m:r>
          </m:den>
        </m:f>
      </m:oMath>
      <w:bookmarkEnd w:id="41"/>
    </w:p>
    <w:p>
      <w:pPr>
        <w:pStyle w:val="a0"/>
      </w:pPr>
      <w:r>
        <w:t xml:space="preserve">A:</w:t>
      </w:r>
      <w:r>
        <w:t xml:space="preserve"> </w:t>
      </w:r>
      <m:oMath>
        <m:r>
          <m:t>18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A:</w:t>
      </w:r>
      <w:r>
        <w:t xml:space="preserve"> </w:t>
      </w:r>
      <m:oMath>
        <m:r>
          <m:t>18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B:</w:t>
      </w:r>
      <w:r>
        <w:t xml:space="preserve"> </w:t>
      </w:r>
      <m:oMath>
        <m:r>
          <m:t>28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B:</w:t>
      </w:r>
      <w:r>
        <w:t xml:space="preserve"> </w:t>
      </w:r>
      <m:oMath>
        <m:r>
          <m:t>28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C:</w:t>
      </w:r>
      <w:r>
        <w:t xml:space="preserve"> </w:t>
      </w:r>
      <m:oMath>
        <m:r>
          <m:t>20</m:t>
        </m:r>
        <m:r>
          <m:rPr>
            <m:sty m:val="p"/>
          </m:rPr>
          <m:t>/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packets/minute.</w:t>
      </w:r>
    </w:p>
    <w:p>
      <w:pPr>
        <w:pStyle w:val="a0"/>
      </w:pPr>
      <w:r>
        <w:t xml:space="preserve">C:</w:t>
      </w:r>
      <w:r>
        <w:t xml:space="preserve"> </w:t>
      </w:r>
      <m:oMath>
        <m:r>
          <m:t>20</m:t>
        </m:r>
        <m:r>
          <m:rPr>
            <m:sty m:val="p"/>
          </m:rPr>
          <m:t>/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rPr>
          <w:rFonts w:hint="eastAsia"/>
        </w:rPr>
        <w:t xml:space="preserve">包/分钟。</w:t>
      </w:r>
    </w:p>
    <w:p>
      <w:pPr>
        <w:pStyle w:val="a0"/>
      </w:pPr>
      <w:r>
        <w:t xml:space="preserve">These are aggregate rates. They do not establish the speed of any individual worker or the quality of the packed items.</w:t>
      </w:r>
    </w:p>
    <w:p>
      <w:pPr>
        <w:pStyle w:val="a0"/>
      </w:pPr>
      <w:r>
        <w:rPr>
          <w:rFonts w:hint="eastAsia"/>
        </w:rPr>
        <w:t xml:space="preserve">这些是总平均速率。它们不能说明任何单个工人的速度或所包装物品的质量。</w:t>
      </w:r>
    </w:p>
    <w:bookmarkEnd w:id="42"/>
    <w:bookmarkStart w:id="44" w:name="what-the-record-does-not-show"/>
    <w:p>
      <w:pPr>
        <w:pStyle w:val="1"/>
      </w:pPr>
      <w:r>
        <w:t xml:space="preserve">3. What the record does not show</w:t>
      </w:r>
    </w:p>
    <w:bookmarkStart w:id="43" w:name="记录未显示的内容"/>
    <w:p>
      <w:pPr>
        <w:pStyle w:val="1"/>
      </w:pPr>
      <w:r>
        <w:t xml:space="preserve">3. </w:t>
      </w:r>
      <w:r>
        <w:rPr>
          <w:rFonts w:hint="eastAsia"/>
        </w:rPr>
        <w:t xml:space="preserve">记录未显示的内容</w:t>
      </w:r>
    </w:p>
    <w:bookmarkEnd w:id="43"/>
    <w:p>
      <w:pPr>
        <w:pStyle w:val="FirstParagraph"/>
      </w:pPr>
      <w:r>
        <w:t xml:space="preserve">The record contains no error counts, damage checks, training outcomes or individual timings. Batch B has more packets than Batch A, but that fact alone does not establish better quality. A separate quality record would be needed for that conclusion.</w:t>
      </w:r>
    </w:p>
    <w:p>
      <w:pPr>
        <w:pStyle w:val="a0"/>
      </w:pPr>
      <w:r>
        <w:rPr>
          <w:rFonts w:hint="eastAsia"/>
        </w:rPr>
        <w:t xml:space="preserve">记录中没有错误数量、损坏检查、培训结果或个人计时。批次B的包装数量多于批次A，但仅凭这一事实不能说明质量更好。要得出这一结论，还需要单独的质量记录。</w:t>
      </w:r>
    </w:p>
    <w:bookmarkEnd w:id="44"/>
    <w:bookmarkStart w:id="46" w:name="read-the-chart-with-its-caption"/>
    <w:p>
      <w:pPr>
        <w:pStyle w:val="1"/>
      </w:pPr>
      <w:r>
        <w:t xml:space="preserve">Read the chart with its caption</w:t>
      </w:r>
    </w:p>
    <w:bookmarkStart w:id="45" w:name="结合图注阅读图表"/>
    <w:p>
      <w:pPr>
        <w:pStyle w:val="1"/>
      </w:pPr>
      <w:r>
        <w:rPr>
          <w:rFonts w:hint="eastAsia"/>
        </w:rPr>
        <w:t xml:space="preserve">结合图注阅读图表</w:t>
      </w:r>
    </w:p>
    <w:bookmarkEnd w:id="45"/>
    <w:bookmarkEnd w:id="46"/>
    <w:bookmarkStart w:id="51" w:name="recorded-packet-counts"/>
    <w:p>
      <w:pPr>
        <w:pStyle w:val="1"/>
      </w:pPr>
      <w:r>
        <w:t xml:space="preserve">4. Recorded packet counts</w:t>
      </w:r>
    </w:p>
    <w:bookmarkStart w:id="47" w:name="记录的包装数量"/>
    <w:p>
      <w:pPr>
        <w:pStyle w:val="1"/>
      </w:pPr>
      <w:r>
        <w:t xml:space="preserve">4. </w:t>
      </w:r>
      <w:r>
        <w:rPr>
          <w:rFonts w:hint="eastAsia"/>
        </w:rPr>
        <w:t xml:space="preserve">记录的包装数量</w:t>
      </w:r>
    </w:p>
    <w:bookmarkEnd w:id="47"/>
    <w:p>
      <w:pPr>
        <w:pStyle w:val="FirstParagraph"/>
      </w:pPr>
      <w:r>
        <w:t xml:space="preserve">The chart repeats the packet-count column from Table 1. Its vertical axis is a count; it is not a rate or a quality score.</w:t>
      </w:r>
    </w:p>
    <w:p>
      <w:pPr>
        <w:pStyle w:val="a0"/>
      </w:pPr>
      <w:r>
        <w:rPr>
          <w:rFonts w:hint="eastAsia"/>
        </w:rPr>
        <w:t xml:space="preserve">图表重复了表1中的包装数量列。其纵轴表示数量，而不是速率或质量评分。</w:t>
      </w:r>
    </w:p>
    <w:p>
      <w:pPr>
        <w:pStyle w:val="a0"/>
      </w:pPr>
      <w:r>
        <w:drawing>
          <wp:inline>
            <wp:extent cx="5486400" cy="3070947"/>
            <wp:effectExtent b="0" l="0" r="0" t="0"/>
            <wp:docPr descr="image" title="" id="49" name="Picture"/>
            <a:graphic>
              <a:graphicData uri="http://schemas.openxmlformats.org/drawingml/2006/picture">
                <pic:pic>
                  <pic:nvPicPr>
                    <pic:cNvPr descr="images/1_185_714_1222_684_0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70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a0"/>
      </w:pPr>
      <w:r>
        <w:t xml:space="preserve">Figure 1. Packet counts in three fictional batches. The taller bar for Batch B does not show a higher quality score.</w:t>
      </w:r>
    </w:p>
    <w:p>
      <w:pPr>
        <w:pStyle w:val="a0"/>
      </w:pPr>
      <w:r>
        <w:rPr>
          <w:rFonts w:hint="eastAsia"/>
        </w:rPr>
        <w:t xml:space="preserve">图1。三个虚构批次的包装数量。批次B的柱形更高，并不表示质量评分更高。</w:t>
      </w:r>
    </w:p>
    <w:bookmarkEnd w:id="51"/>
    <w:bookmarkStart w:id="53" w:name="verify-a-translated-copy"/>
    <w:p>
      <w:pPr>
        <w:pStyle w:val="1"/>
      </w:pPr>
      <w:r>
        <w:t xml:space="preserve">5. Verify a translated copy</w:t>
      </w:r>
    </w:p>
    <w:bookmarkStart w:id="52" w:name="核对译本"/>
    <w:p>
      <w:pPr>
        <w:pStyle w:val="1"/>
      </w:pPr>
      <w:r>
        <w:t xml:space="preserve">5. </w:t>
      </w:r>
      <w:r>
        <w:rPr>
          <w:rFonts w:hint="eastAsia"/>
        </w:rPr>
        <w:t xml:space="preserve">核对译本</w:t>
      </w:r>
    </w:p>
    <w:bookmarkEnd w:id="52"/>
    <w:p>
      <w:pPr>
        <w:pStyle w:val="FirstParagraph"/>
      </w:pPr>
      <w:r>
        <w:t xml:space="preserve">Check all nine table values, the three rate calculations and the negative statements. Compare column order, title position and the relationship between the chart and its caption. A fluent sentence can still change the meaning of a limit.</w:t>
      </w:r>
    </w:p>
    <w:p>
      <w:pPr>
        <w:pStyle w:val="a0"/>
      </w:pPr>
      <w:r>
        <w:rPr>
          <w:rFonts w:hint="eastAsia"/>
        </w:rPr>
        <w:t xml:space="preserve">检查表格中的九个数值、三个速率计算结果以及否定性陈述。比较列顺序、标题位置，以及图表与图注之间的关系。流畅的句子仍可能改变限制条件的含义。</w:t>
      </w:r>
    </w:p>
    <w:bookmarkEnd w:id="53"/>
    <w:bookmarkStart w:id="55" w:name="keep-the-source-nearby"/>
    <w:p>
      <w:pPr>
        <w:pStyle w:val="1"/>
      </w:pPr>
      <w:r>
        <w:t xml:space="preserve">6. Keep the source nearby</w:t>
      </w:r>
    </w:p>
    <w:bookmarkStart w:id="54" w:name="将源文件放在附近"/>
    <w:p>
      <w:pPr>
        <w:pStyle w:val="1"/>
      </w:pPr>
      <w:r>
        <w:t xml:space="preserve">6. </w:t>
      </w:r>
      <w:r>
        <w:rPr>
          <w:rFonts w:hint="eastAsia"/>
        </w:rPr>
        <w:t xml:space="preserve">将源文件放在附近</w:t>
      </w:r>
    </w:p>
    <w:bookmarkEnd w:id="54"/>
    <w:p>
      <w:pPr>
        <w:pStyle w:val="FirstParagraph"/>
      </w:pPr>
      <w:r>
        <w:t xml:space="preserve">A translated page is useful for reading. A reflowed Word or Markdown file serves a different editing purpose. Record which translation mode and export option produced each file, and keep the original two-page PDF for comparison.</w:t>
      </w:r>
    </w:p>
    <w:p>
      <w:pPr>
        <w:pStyle w:val="a0"/>
      </w:pPr>
      <w:r>
        <w:rPr>
          <w:rFonts w:hint="eastAsia"/>
        </w:rPr>
        <w:t xml:space="preserve">译文页面适合阅读。重新排版的</w:t>
      </w:r>
      <w:r>
        <w:t xml:space="preserve"> Word </w:t>
      </w:r>
      <w:r>
        <w:rPr>
          <w:rFonts w:hint="eastAsia"/>
        </w:rPr>
        <w:t xml:space="preserve">或</w:t>
      </w:r>
      <w:r>
        <w:t xml:space="preserve"> Markdown </w:t>
      </w:r>
      <w:r>
        <w:rPr>
          <w:rFonts w:hint="eastAsia"/>
        </w:rPr>
        <w:t xml:space="preserve">文件则服务于不同的编辑目的。记录生成每个文件所使用的翻译模式和导出选项，并保留原始的两页</w:t>
      </w:r>
      <w:r>
        <w:t xml:space="preserve"> PDF </w:t>
      </w:r>
      <w:r>
        <w:rPr>
          <w:rFonts w:hint="eastAsia"/>
        </w:rPr>
        <w:t xml:space="preserve">以供比较。</w:t>
      </w:r>
    </w:p>
    <w:bookmarkEnd w:id="55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8" Target="media/rId4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2026-10-12T02:38:00Z</dcterms:created>
  <dcterms:modified xsi:type="dcterms:W3CDTF">2026-10-12T02:38:00Z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