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550280</wp:posOffset>
            </wp:positionH>
            <wp:positionV relativeFrom="page">
              <wp:posOffset>2539667</wp:posOffset>
            </wp:positionV>
            <wp:extent cx="5502799" cy="2082527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5502799" cy="2082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550280</wp:posOffset>
            </wp:positionH>
            <wp:positionV relativeFrom="page">
              <wp:posOffset>9701530</wp:posOffset>
            </wp:positionV>
            <wp:extent cx="6450974" cy="50793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6450974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41.029pt;margin-top:42.472pt;width:201.904pt;height:25.1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80" w:lineRule="atLeast"/>
                    <w:jc w:val="left"/>
                    <w:rPr>
                      <w:rFonts w:ascii="Arial" w:hAnsi="Arial" w:eastAsia="SimSun"/>
                      <w:color w:val="142536"/>
                      <w:sz w:val="40"/>
                      <w:szCs w:val="40"/>
                    </w:rPr>
                  </w:pPr>
                  <w:r>
                    <w:rPr>
                      <w:rFonts w:ascii="Arial" w:hAnsi="Arial" w:eastAsia="SimSun"/>
                      <w:b/>
                      <w:color w:val="142536"/>
                      <w:sz w:val="40"/>
                      <w:szCs w:val="40"/>
                    </w:rPr>
                    <w:t xml:space="preserve">Willow field supplies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41.748pt;margin-top:73.427pt;width:207.663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142536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142536"/>
                      <w:sz w:val="22"/>
                      <w:szCs w:val="22"/>
                    </w:rPr>
                    <w:t xml:space="preserve">Public layout sample | Source page 1 of 2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41.748pt;margin-top:127.777pt;width:247.252pt;height:15.8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  <w:t xml:space="preserve">Review the native table, row IDs and empty fields.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41.389pt;margin-top:146.494pt;width:272.805pt;height:15.8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  <w:t xml:space="preserve">All names and values are authored for this comparison.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56.264pt;margin-top:213.802pt;width:30.472pt;height:10.79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Item ID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104.371pt;margin-top:213.050pt;width:22.67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Item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246.532pt;margin-top:213.050pt;width:19.07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Qty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288.640pt;margin-top:213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Unit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344.785pt;margin-top:213.050pt;width:47.867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Unit price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416.765pt;margin-top:213.050pt;width:40.669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Amount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51.466pt;margin-top:251.050pt;width:18.71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001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104.731pt;margin-top:251.050pt;width:67.661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Sample bottles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246.532pt;margin-top:251.050pt;width:14.036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12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288.640pt;margin-top:251.050pt;width:17.63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pcs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344.065pt;margin-top:251.050pt;width:22.67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2.80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416.405pt;margin-top:251.050pt;width:27.712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33.60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51.466pt;margin-top:293.050pt;width:19.07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002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104.371pt;margin-top:293.050pt;width:57.58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Paper labels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245.812pt;margin-top:293.050pt;width:9.717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288.640pt;margin-top:293.050pt;width:28.072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packs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344.425pt;margin-top:293.050pt;width:21.95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3.00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416.405pt;margin-top:293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0.00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51.466pt;margin-top:335.050pt;width:19.07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003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104.731pt;margin-top:335.050pt;width:55.78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Filter sheets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288.640pt;margin-top:335.050pt;width:28.072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packs</w:t>
                  </w:r>
                </w:p>
              </w:txbxContent>
            </v:textbox>
          </v:shape>
        </w:pict>
      </w:r>
      <w:r>
        <w:pict>
          <v:shape id="layout_0_25" type="#_x0000_t202" style="position:absolute;margin-left:344.065pt;margin-top:335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4.00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41.748pt;margin-top:386.571pt;width:135.323pt;height:14.75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22"/>
                      <w:szCs w:val="22"/>
                    </w:rPr>
                    <w:t xml:space="preserve">Recorded subtotal: 33.60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41.748pt;margin-top:409.247pt;width:231.776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Blank quantity/amount for 003 means not recorded.</w:t>
                  </w:r>
                </w:p>
              </w:txbxContent>
            </v:textbox>
          </v:shape>
        </w:pict>
      </w:r>
      <w:r>
        <w:pict>
          <v:shape id="layout_0_28" type="#_x0000_t202" style="position:absolute;margin-left:41.389pt;margin-top:771.702pt;width:233.216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16" w:lineRule="atLeast"/>
                    <w:jc w:val="left"/>
                    <w:rPr>
                      <w:rFonts w:ascii="Arial" w:hAnsi="Arial" w:eastAsia="SimSu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18"/>
                      <w:szCs w:val="18"/>
                    </w:rPr>
                    <w:t xml:space="preserve">Willow source footer | Keep page 1 and its table together.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550280</wp:posOffset>
            </wp:positionH>
            <wp:positionV relativeFrom="page">
              <wp:posOffset>2539667</wp:posOffset>
            </wp:positionV>
            <wp:extent cx="5502799" cy="2082527"/>
            <wp:effectExtent l="0" t="0" r="0" b="0"/>
            <wp:wrapNone/>
            <wp:docPr id="3" name="layout_background_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layout_background_1"/>
                    <pic:cNvPicPr/>
                  </pic:nvPicPr>
                  <pic:blipFill>
                    <a:blip r:embed="rIdLayoutBackground1"/>
                    <a:stretch>
                      <a:fillRect/>
                    </a:stretch>
                  </pic:blipFill>
                  <pic:spPr>
                    <a:xfrm>
                      <a:off x="0" y="0"/>
                      <a:ext cx="5502799" cy="2082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550280</wp:posOffset>
            </wp:positionH>
            <wp:positionV relativeFrom="page">
              <wp:posOffset>9701530</wp:posOffset>
            </wp:positionV>
            <wp:extent cx="6450974" cy="50793"/>
            <wp:effectExtent l="0" t="0" r="0" b="0"/>
            <wp:wrapNone/>
            <wp:docPr id="4" name="layout_background_1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layout_background_1-1"/>
                    <pic:cNvPicPr/>
                  </pic:nvPicPr>
                  <pic:blipFill>
                    <a:blip r:embed="rIdLayoutBackground1-1"/>
                    <a:stretch>
                      <a:fillRect/>
                    </a:stretch>
                  </pic:blipFill>
                  <pic:spPr>
                    <a:xfrm>
                      <a:off x="0" y="0"/>
                      <a:ext cx="6450974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1_29" type="#_x0000_t202" style="position:absolute;margin-left:41.029pt;margin-top:42.472pt;width:201.904pt;height:25.1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480" w:lineRule="atLeast"/>
                    <w:jc w:val="left"/>
                    <w:rPr>
                      <w:rFonts w:ascii="Arial" w:hAnsi="Arial" w:eastAsia="SimSun"/>
                      <w:color w:val="142536"/>
                      <w:sz w:val="40"/>
                      <w:szCs w:val="40"/>
                    </w:rPr>
                  </w:pPr>
                  <w:r>
                    <w:rPr>
                      <w:rFonts w:ascii="Arial" w:hAnsi="Arial" w:eastAsia="SimSun"/>
                      <w:b/>
                      <w:color w:val="142536"/>
                      <w:sz w:val="40"/>
                      <w:szCs w:val="40"/>
                    </w:rPr>
                    <w:t xml:space="preserve">Willow field supplies</w:t>
                  </w:r>
                </w:p>
              </w:txbxContent>
            </v:textbox>
          </v:shape>
        </w:pict>
      </w:r>
      <w:r>
        <w:pict>
          <v:shape id="layout_1_30" type="#_x0000_t202" style="position:absolute;margin-left:41.389pt;margin-top:73.427pt;width:207.663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142536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142536"/>
                      <w:sz w:val="22"/>
                      <w:szCs w:val="22"/>
                    </w:rPr>
                    <w:t xml:space="preserve">Public layout sample | Source page 2 of 2</w:t>
                  </w:r>
                </w:p>
              </w:txbxContent>
            </v:textbox>
          </v:shape>
        </w:pict>
      </w:r>
      <w:r>
        <w:pict>
          <v:shape id="layout_1_31" type="#_x0000_t202" style="position:absolute;margin-left:42.108pt;margin-top:127.777pt;width:296.918pt;height:15.8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  <w:t xml:space="preserve">Continued record: keep the second table on its source page.</w:t>
                  </w:r>
                </w:p>
              </w:txbxContent>
            </v:textbox>
          </v:shape>
        </w:pict>
      </w:r>
      <w:r>
        <w:pict>
          <v:shape id="layout_1_32" type="#_x0000_t202" style="position:absolute;margin-left:41.389pt;margin-top:146.494pt;width:272.805pt;height:15.8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  <w:t xml:space="preserve">All names and values are authored for this comparison.</w:t>
                  </w:r>
                </w:p>
              </w:txbxContent>
            </v:textbox>
          </v:shape>
        </w:pict>
      </w:r>
      <w:r>
        <w:pict>
          <v:shape id="layout_1_33" type="#_x0000_t202" style="position:absolute;margin-left:56.264pt;margin-top:213.802pt;width:30.472pt;height:10.79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Item ID</w:t>
                  </w:r>
                </w:p>
              </w:txbxContent>
            </v:textbox>
          </v:shape>
        </w:pict>
      </w:r>
      <w:r>
        <w:pict>
          <v:shape id="layout_1_34" type="#_x0000_t202" style="position:absolute;margin-left:104.371pt;margin-top:213.050pt;width:23.03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Item</w:t>
                  </w:r>
                </w:p>
              </w:txbxContent>
            </v:textbox>
          </v:shape>
        </w:pict>
      </w:r>
      <w:r>
        <w:pict>
          <v:shape id="layout_1_35" type="#_x0000_t202" style="position:absolute;margin-left:246.532pt;margin-top:213.050pt;width:19.07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Qty</w:t>
                  </w:r>
                </w:p>
              </w:txbxContent>
            </v:textbox>
          </v:shape>
        </w:pict>
      </w:r>
      <w:r>
        <w:pict>
          <v:shape id="layout_1_36" type="#_x0000_t202" style="position:absolute;margin-left:288.640pt;margin-top:213.050pt;width:22.67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Unit</w:t>
                  </w:r>
                </w:p>
              </w:txbxContent>
            </v:textbox>
          </v:shape>
        </w:pict>
      </w:r>
      <w:r>
        <w:pict>
          <v:shape id="layout_1_37" type="#_x0000_t202" style="position:absolute;margin-left:344.785pt;margin-top:213.050pt;width:47.867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Unit price</w:t>
                  </w:r>
                </w:p>
              </w:txbxContent>
            </v:textbox>
          </v:shape>
        </w:pict>
      </w:r>
      <w:r>
        <w:pict>
          <v:shape id="layout_1_38" type="#_x0000_t202" style="position:absolute;margin-left:416.765pt;margin-top:213.050pt;width:40.669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17"/>
                      <w:szCs w:val="17"/>
                    </w:rPr>
                    <w:t xml:space="preserve">Amount</w:t>
                  </w:r>
                </w:p>
              </w:txbxContent>
            </v:textbox>
          </v:shape>
        </w:pict>
      </w:r>
      <w:r>
        <w:pict>
          <v:shape id="layout_1_39" type="#_x0000_t202" style="position:absolute;margin-left:51.466pt;margin-top:251.050pt;width:19.43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004</w:t>
                  </w:r>
                </w:p>
              </w:txbxContent>
            </v:textbox>
          </v:shape>
        </w:pict>
      </w:r>
      <w:r>
        <w:pict>
          <v:shape id="layout_1_40" type="#_x0000_t202" style="position:absolute;margin-left:104.731pt;margin-top:251.050pt;width:32.751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Gloves</w:t>
                  </w:r>
                </w:p>
              </w:txbxContent>
            </v:textbox>
          </v:shape>
        </w:pict>
      </w:r>
      <w:r>
        <w:pict>
          <v:shape id="layout_1_41" type="#_x0000_t202" style="position:absolute;margin-left:245.452pt;margin-top:251.050pt;width:10.437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2</w:t>
                  </w:r>
                </w:p>
              </w:txbxContent>
            </v:textbox>
          </v:shape>
        </w:pict>
      </w:r>
      <w:r>
        <w:pict>
          <v:shape id="layout_1_42" type="#_x0000_t202" style="position:absolute;margin-left:288.640pt;margin-top:251.050pt;width:23.753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pairs</w:t>
                  </w:r>
                </w:p>
              </w:txbxContent>
            </v:textbox>
          </v:shape>
        </w:pict>
      </w:r>
      <w:r>
        <w:pict>
          <v:shape id="layout_1_43" type="#_x0000_t202" style="position:absolute;margin-left:344.425pt;margin-top:251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5.50</w:t>
                  </w:r>
                </w:p>
              </w:txbxContent>
            </v:textbox>
          </v:shape>
        </w:pict>
      </w:r>
      <w:r>
        <w:pict>
          <v:shape id="layout_1_44" type="#_x0000_t202" style="position:absolute;margin-left:416.765pt;margin-top:251.050pt;width:27.352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11.00</w:t>
                  </w:r>
                </w:p>
              </w:txbxContent>
            </v:textbox>
          </v:shape>
        </w:pict>
      </w:r>
      <w:r>
        <w:pict>
          <v:shape id="layout_1_45" type="#_x0000_t202" style="position:absolute;margin-left:51.466pt;margin-top:293.050pt;width:19.43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005</w:t>
                  </w:r>
                </w:p>
              </w:txbxContent>
            </v:textbox>
          </v:shape>
        </w:pict>
      </w:r>
      <w:r>
        <w:pict>
          <v:shape id="layout_1_46" type="#_x0000_t202" style="position:absolute;margin-left:104.731pt;margin-top:293.050pt;width:24.113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Clips</w:t>
                  </w:r>
                </w:p>
              </w:txbxContent>
            </v:textbox>
          </v:shape>
        </w:pict>
      </w:r>
      <w:r>
        <w:pict>
          <v:shape id="layout_1_47" type="#_x0000_t202" style="position:absolute;margin-left:245.452pt;margin-top:292.988pt;width:10.437pt;height:12.59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1</w:t>
                  </w:r>
                </w:p>
              </w:txbxContent>
            </v:textbox>
          </v:shape>
        </w:pict>
      </w:r>
      <w:r>
        <w:pict>
          <v:shape id="layout_1_48" type="#_x0000_t202" style="position:absolute;margin-left:287.920pt;margin-top:293.050pt;width:20.15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box</w:t>
                  </w:r>
                </w:p>
              </w:txbxContent>
            </v:textbox>
          </v:shape>
        </w:pict>
      </w:r>
      <w:r>
        <w:pict>
          <v:shape id="layout_1_49" type="#_x0000_t202" style="position:absolute;margin-left:344.425pt;margin-top:293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5.00</w:t>
                  </w:r>
                </w:p>
              </w:txbxContent>
            </v:textbox>
          </v:shape>
        </w:pict>
      </w:r>
      <w:r>
        <w:pict>
          <v:shape id="layout_1_50" type="#_x0000_t202" style="position:absolute;margin-left:416.405pt;margin-top:293.050pt;width:22.31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5.00</w:t>
                  </w:r>
                </w:p>
              </w:txbxContent>
            </v:textbox>
          </v:shape>
        </w:pict>
      </w:r>
      <w:r>
        <w:pict>
          <v:shape id="layout_1_51" type="#_x0000_t202" style="position:absolute;margin-left:51.466pt;margin-top:335.050pt;width:19.075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006</w:t>
                  </w:r>
                </w:p>
              </w:txbxContent>
            </v:textbox>
          </v:shape>
        </w:pict>
      </w:r>
      <w:r>
        <w:pict>
          <v:shape id="layout_1_52" type="#_x0000_t202" style="position:absolute;margin-left:105.091pt;margin-top:335.050pt;width:73.780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Returned gloves</w:t>
                  </w:r>
                </w:p>
              </w:txbxContent>
            </v:textbox>
          </v:shape>
        </w:pict>
      </w:r>
      <w:r>
        <w:pict>
          <v:shape id="layout_1_53" type="#_x0000_t202" style="position:absolute;margin-left:245.092pt;margin-top:335.050pt;width:13.676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-1</w:t>
                  </w:r>
                </w:p>
              </w:txbxContent>
            </v:textbox>
          </v:shape>
        </w:pict>
      </w:r>
      <w:r>
        <w:pict>
          <v:shape id="layout_1_54" type="#_x0000_t202" style="position:absolute;margin-left:287.920pt;margin-top:335.050pt;width:20.15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pair</w:t>
                  </w:r>
                </w:p>
              </w:txbxContent>
            </v:textbox>
          </v:shape>
        </w:pict>
      </w:r>
      <w:r>
        <w:pict>
          <v:shape id="layout_1_55" type="#_x0000_t202" style="position:absolute;margin-left:344.425pt;margin-top:335.050pt;width:21.954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5.00</w:t>
                  </w:r>
                </w:p>
              </w:txbxContent>
            </v:textbox>
          </v:shape>
        </w:pict>
      </w:r>
      <w:r>
        <w:pict>
          <v:shape id="layout_1_56" type="#_x0000_t202" style="position:absolute;margin-left:416.045pt;margin-top:335.050pt;width:25.913pt;height:12.5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-5.00</w:t>
                  </w:r>
                </w:p>
              </w:txbxContent>
            </v:textbox>
          </v:shape>
        </w:pict>
      </w:r>
      <w:r>
        <w:pict>
          <v:shape id="layout_1_57" type="#_x0000_t202" style="position:absolute;margin-left:41.748pt;margin-top:386.571pt;width:135.323pt;height:14.75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64" w:lineRule="atLeast"/>
                    <w:jc w:val="left"/>
                    <w:rPr>
                      <w:rFonts w:ascii="Arial" w:hAnsi="Arial" w:eastAsia="SimSu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22"/>
                      <w:szCs w:val="22"/>
                    </w:rPr>
                    <w:t xml:space="preserve">Recorded subtotal: 11.00</w:t>
                  </w:r>
                </w:p>
              </w:txbxContent>
            </v:textbox>
          </v:shape>
        </w:pict>
      </w:r>
      <w:r>
        <w:pict>
          <v:shape id="layout_1_58" type="#_x0000_t202" style="position:absolute;margin-left:42.108pt;margin-top:409.247pt;width:219.899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The negative amount represents a returned item.</w:t>
                  </w:r>
                </w:p>
              </w:txbxContent>
            </v:textbox>
          </v:shape>
        </w:pict>
      </w:r>
      <w:r>
        <w:pict>
          <v:shape id="layout_1_59" type="#_x0000_t202" style="position:absolute;margin-left:42.108pt;margin-top:479.434pt;width:125.245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88" w:lineRule="atLeast"/>
                    <w:jc w:val="left"/>
                    <w:rPr>
                      <w:rFonts w:ascii="Arial" w:hAnsi="Arial" w:eastAsia="SimSu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24"/>
                      <w:szCs w:val="24"/>
                    </w:rPr>
                    <w:t xml:space="preserve">Recorded total: 44.60</w:t>
                  </w:r>
                </w:p>
              </w:txbxContent>
            </v:textbox>
          </v:shape>
        </w:pict>
      </w:r>
      <w:r>
        <w:pict>
          <v:shape id="layout_1_60" type="#_x0000_t202" style="position:absolute;margin-left:41.748pt;margin-top:500.671pt;width:235.015pt;height:14.3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20"/>
                      <w:szCs w:val="20"/>
                    </w:rPr>
                    <w:t xml:space="preserve">Unknown entries are not treated as zero in this total.</w:t>
                  </w:r>
                </w:p>
              </w:txbxContent>
            </v:textbox>
          </v:shape>
        </w:pict>
      </w:r>
      <w:r>
        <w:pict>
          <v:shape id="layout_1_61" type="#_x0000_t202" style="position:absolute;margin-left:41.389pt;margin-top:772.062pt;width:233.216pt;height:14.3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16" w:lineRule="atLeast"/>
                    <w:jc w:val="left"/>
                    <w:rPr>
                      <w:rFonts w:ascii="Arial" w:hAnsi="Arial" w:eastAsia="SimSu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18"/>
                      <w:szCs w:val="18"/>
                    </w:rPr>
                    <w:t xml:space="preserve">Willow source footer | Keep page 2 and its table together.</w:t>
                  </w:r>
                </w:p>
              </w:txbxContent>
            </v:textbox>
          </v:shape>
        </w:pict>
      </w:r>
    </w:p>
    <w:sectPr>
      <w:type w:val="nextPage"/>
      <w:pgSz w:w="11906" w:h="16838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Relationship Id="rIdLayoutBackground1" Type="http://schemas.openxmlformats.org/officeDocument/2006/relationships/image" Target="media/layout-background-0.png"/><Relationship Id="rIdLayoutBackground1-1" Type="http://schemas.openxmlformats.org/officeDocument/2006/relationships/image" Target="media/layout-background-0-1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2026-10-14T09:35:47Z</dcterms:created>
  <dcterms:modified xsi:type="dcterms:W3CDTF">2026-10-14T09:35:47Z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